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4E8E" w14:textId="438F042D" w:rsidR="00A74C19" w:rsidRPr="0091421E" w:rsidRDefault="00A74C19" w:rsidP="0091421E">
      <w:pPr>
        <w:jc w:val="center"/>
        <w:rPr>
          <w:rFonts w:ascii="Trebuchet MS" w:hAnsi="Trebuchet MS"/>
          <w:b/>
          <w:bCs/>
          <w:color w:val="18BAA7"/>
          <w:sz w:val="28"/>
          <w:szCs w:val="28"/>
          <w:u w:val="single"/>
          <w:lang w:val="en-GB"/>
        </w:rPr>
      </w:pPr>
      <w:r w:rsidRPr="0091421E">
        <w:rPr>
          <w:rFonts w:ascii="Trebuchet MS" w:hAnsi="Trebuchet MS"/>
          <w:b/>
          <w:bCs/>
          <w:color w:val="18BAA7"/>
          <w:sz w:val="28"/>
          <w:szCs w:val="28"/>
          <w:u w:val="single"/>
          <w:lang w:val="en-GB"/>
        </w:rPr>
        <w:t>PRESS RELEASE</w:t>
      </w:r>
    </w:p>
    <w:p w14:paraId="23252CD9" w14:textId="77777777" w:rsidR="00E64D42" w:rsidRPr="00E64D42" w:rsidRDefault="00E64D42" w:rsidP="00E64D42">
      <w:pPr>
        <w:spacing w:after="0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b/>
          <w:bCs/>
          <w:sz w:val="28"/>
          <w:szCs w:val="28"/>
          <w:lang w:val="sl-SI"/>
          <w14:ligatures w14:val="none"/>
        </w:rPr>
        <w:t>Od dobrih praks do sistemskih rešitev:</w:t>
      </w:r>
    </w:p>
    <w:p w14:paraId="6436453D" w14:textId="77777777" w:rsidR="00E64D42" w:rsidRPr="00E64D42" w:rsidRDefault="00E64D42" w:rsidP="00E64D42">
      <w:pPr>
        <w:spacing w:after="0"/>
        <w:jc w:val="center"/>
        <w:rPr>
          <w:rFonts w:ascii="Trebuchet MS" w:eastAsia="Times New Roman" w:hAnsi="Trebuchet MS" w:cs="Times New Roman"/>
          <w:sz w:val="28"/>
          <w:szCs w:val="28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b/>
          <w:bCs/>
          <w:sz w:val="28"/>
          <w:szCs w:val="28"/>
          <w:lang w:val="sl-SI"/>
          <w14:ligatures w14:val="none"/>
        </w:rPr>
        <w:t>Zaključna konferenca projekta Food4CE izpostavila poti za trajen vpliv alternativnih prehranskih mrež v Srednji Evropi</w:t>
      </w:r>
    </w:p>
    <w:p w14:paraId="110B2F26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lang w:val="sl-SI"/>
          <w14:ligatures w14:val="none"/>
        </w:rPr>
      </w:pPr>
    </w:p>
    <w:p w14:paraId="751C6D30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Maribor, 26. februar 2026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–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Zaključna konferenca projekta Food4CE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z naslovom </w:t>
      </w:r>
      <w:r w:rsidRPr="00E64D42">
        <w:rPr>
          <w:rFonts w:ascii="Trebuchet MS" w:eastAsia="Times New Roman" w:hAnsi="Trebuchet MS" w:cs="Times New Roman"/>
          <w:b/>
          <w:bCs/>
          <w:i/>
          <w:iCs/>
          <w:lang w:val="sl-SI"/>
          <w14:ligatures w14:val="none"/>
        </w:rPr>
        <w:t xml:space="preserve">»Od dobrih praks do sistemskih rešitev - Razvoj logistike in sodelovanja v alternativnih prehranskih mrežah (APM)« 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>je v Mariboru združila pridelovalce lokalne hrane, ponudnike logističnih storitev, oblikovalce politik, raziskovalce in strokovnjake s področja inovacij, ki so razpravljali o prihodnosti alternativnih prehranskih mrež (APM) v Srednji Evropi.</w:t>
      </w:r>
    </w:p>
    <w:p w14:paraId="5E95C6F7" w14:textId="68695D04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Konferenca je kot zaključni dogodek sklenila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triletno čezmejno sodelovanje v okviru programa Interreg Srednja Evropa (Interreg Central Europe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>). Predstavljeni so bili glavni dosežki projekta, izpostavljene konkretne rešitve, razvite v partnerskih regijah, ter začrtani nadaljnji koraki za zagotavljanje dolgoročnih učinkov projekta.</w:t>
      </w:r>
    </w:p>
    <w:p w14:paraId="32FEEDBD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b/>
          <w:bCs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Od projektnih rezultatov do sistemskih usmeritev</w:t>
      </w:r>
    </w:p>
    <w:p w14:paraId="78F336BC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Program konference je poudaril pomen rezultatov Food4CE za razvoj regionalnih politik in inovacij. Predstavljena so bila digitalna orodja projekta, vključno s Platformo za prenos znanja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(KTP)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in Platformo za povezovanje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(MP)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>, ki mrežam APM omogočajo optimizacijo logistike, krepitev sodelovanja in lažji dostop do trga.</w:t>
      </w:r>
    </w:p>
    <w:p w14:paraId="2587CAA7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V razpravah o strateških usmeritvah so regionalni, nacionalni in predstavniki EU raziskovali,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kako lahko ugotovitve projekta Food4CE podprejo strategije pametne specializacije (S3), makro regionalne pobude in prihodnje finančne instrumente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>. Govorci so poudarili, da je vključevanje APM v širše strateške okvire ključno za vzpostavitev odpornih, trajnostnih in lokalno vpetih prehranskih sistemov.</w:t>
      </w:r>
    </w:p>
    <w:p w14:paraId="657621FC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b/>
          <w:bCs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Rešitve iz partnerskih regij v praksi</w:t>
      </w:r>
    </w:p>
    <w:p w14:paraId="0002BF08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Pomemben vsebinski slop je bil posvečen navdihujočim dobrim praksam iz partnerskih regij. Predstavljeni so bili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konkretni primeri inovativnih logističnih modelov, sodelovalnih pristopov in skupnostno usmerjenih prehranskih pobud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. Te izkušnje so pokazale, kako lahko rešitve, razvite na lokalni ravni,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naslavljajo skupne izzive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in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ustvarijo učinke, ki jih je mogoče prenesti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tudi v druga okolja.</w:t>
      </w:r>
    </w:p>
    <w:p w14:paraId="04673A66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lang w:val="sl-SI"/>
          <w14:ligatures w14:val="none"/>
        </w:rPr>
        <w:t>Z naslednjim vsebinskim sklopom, okroglo mizo, so odprli razpravo o ohranjanju inovacijskih središč in širitvi projektnih rezultatov v širšo rabo. Udeleženci so razpravljali o tem, kako ohraniti sodelovalne ekosisteme, vzpostavljene v okviru projekta Food4CE, ter zagotoviti trajen dialog med pridelovalci, ponudniki logističnih storitev, digitalnimi inovatorji in javnimi organi.</w:t>
      </w:r>
    </w:p>
    <w:p w14:paraId="07382025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b/>
          <w:bCs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Podeljeni certifikati odličnosti izstopajočim APM</w:t>
      </w:r>
    </w:p>
    <w:p w14:paraId="0F35D886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Posebno priznanje delu alternativnih prehranskih mrež so namenili s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podelitvijo certifikatov odličnosti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izbranim mrežam. Priznanja so prejele za svoje inovativne in vplivne prakse, ki so v celoti izpolnile pet projektnih meril za izbor najboljših praks. </w:t>
      </w:r>
    </w:p>
    <w:p w14:paraId="1FC04616" w14:textId="77777777" w:rsidR="00E64D42" w:rsidRPr="00E64D42" w:rsidRDefault="00E64D42" w:rsidP="00E64D42">
      <w:pPr>
        <w:numPr>
          <w:ilvl w:val="0"/>
          <w:numId w:val="5"/>
        </w:numPr>
        <w:contextualSpacing/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lang w:val="sl-SI"/>
          <w14:ligatures w14:val="none"/>
        </w:rPr>
        <w:lastRenderedPageBreak/>
        <w:t xml:space="preserve">Med nagrajenci sta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Slovenijo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zastopali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Kmetijska zadruga Rače z.o.o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., ki je prejela priznanje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za svojo tesno povezanost z lokalnim okoljem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, ter podjetje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Krapše, d.o.o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., ki je bilo nagrajeno za svoj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napreden logistični pristop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>.</w:t>
      </w:r>
    </w:p>
    <w:p w14:paraId="2E4D81F6" w14:textId="77777777" w:rsidR="00E64D42" w:rsidRPr="00E64D42" w:rsidRDefault="00E64D42" w:rsidP="00E64D42">
      <w:pPr>
        <w:numPr>
          <w:ilvl w:val="0"/>
          <w:numId w:val="5"/>
        </w:numPr>
        <w:contextualSpacing/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Iz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Poljske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je priznanje za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lokalno povezanost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prejel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Frymark,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medtem ko je bila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Wiejska e-skrzynka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nagrajena za odličnost na področju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digitalizacije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. </w:t>
      </w:r>
    </w:p>
    <w:p w14:paraId="6E7F92E4" w14:textId="77777777" w:rsidR="00E64D42" w:rsidRPr="00E64D42" w:rsidRDefault="00E64D42" w:rsidP="00E64D42">
      <w:pPr>
        <w:numPr>
          <w:ilvl w:val="0"/>
          <w:numId w:val="5"/>
        </w:numPr>
        <w:contextualSpacing/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Med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madžarskimi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mrežami sta bili izbrani podjetji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Cibus Hungaricus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, ki je prejelo nagrado za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digitalizacijo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, in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Capriovus Kft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., ki je bilo prepoznano po svojih dosežkih na področju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trajnosti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>.</w:t>
      </w:r>
    </w:p>
    <w:p w14:paraId="2F333931" w14:textId="77777777" w:rsidR="00E64D42" w:rsidRPr="00E64D42" w:rsidRDefault="00E64D42" w:rsidP="00E64D42">
      <w:pPr>
        <w:numPr>
          <w:ilvl w:val="0"/>
          <w:numId w:val="5"/>
        </w:numPr>
        <w:contextualSpacing/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Avstrijo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sta zastopala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ADAMAH BioHof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, nagrajen za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napredno logistiko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in digitalizacijo, ter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ROSY’S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, ki je prejel priznanje za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napredno logistiko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,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digitalizacijo, lokalno usmerjenost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in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trajnost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. </w:t>
      </w:r>
    </w:p>
    <w:p w14:paraId="5B25CE83" w14:textId="77777777" w:rsidR="00E64D42" w:rsidRPr="00E64D42" w:rsidRDefault="00E64D42" w:rsidP="00E64D42">
      <w:pPr>
        <w:numPr>
          <w:ilvl w:val="0"/>
          <w:numId w:val="5"/>
        </w:numPr>
        <w:contextualSpacing/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Iz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 xml:space="preserve">Italije 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pa sta bila nagrajena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 xml:space="preserve">Arvaia 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za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trajnos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t,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lokalno usmerjenost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in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transparentnost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ter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Furgoncino Solidale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za dosežke na področju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napredne logistike.</w:t>
      </w:r>
    </w:p>
    <w:p w14:paraId="54705CE4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lang w:val="sl-SI"/>
          <w14:ligatures w14:val="none"/>
        </w:rPr>
        <w:t>Nagrade so pokazale, kako raznolike alternativne prehranske mreže uspešno naslavljajo logistične, okoljske in tržne izzive ter hkrati krepijo regionalne prehranske ekosisteme.</w:t>
      </w:r>
    </w:p>
    <w:p w14:paraId="75A886D8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b/>
          <w:bCs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Izhodišča za prihodnje sodelovanje</w:t>
      </w:r>
    </w:p>
    <w:p w14:paraId="5D49FB83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b/>
          <w:bCs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Zaključna konferenca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 ni bila zasnovana zgolj kot sklepni dogodek, temveč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služi predvsem kot odskočna deska za prihodnje sodelovanje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. Udeleženci so poudarili,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da glavni doprinos projekta Food4CE niso le orodja in metodologije, temveč predvsem tesno čezmejno sodelovanje, ki se je spletlo med deležniki.</w:t>
      </w:r>
    </w:p>
    <w:p w14:paraId="7A42B1EB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Govorci so izpostavili, da bo ohranjanje teh partnerskih vezi ključno za to, da alternativne prehranske mreže ostanejo v središču strategij regionalnega razvoja in se lažje prilagajajo prihodnjim gospodarskim ter okoljskim izzivom.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Ključni rezultati projekta bodo ostali aktivni tudi po njegovem uradnem zaključku</w:t>
      </w:r>
      <w:r w:rsidRPr="00E64D42">
        <w:rPr>
          <w:rFonts w:ascii="Trebuchet MS" w:eastAsia="Times New Roman" w:hAnsi="Trebuchet MS" w:cs="Times New Roman"/>
          <w:lang w:val="sl-SI"/>
          <w14:ligatures w14:val="none"/>
        </w:rPr>
        <w:t>: obe digitalni platformi bosta še naprej podpirali mreže APM, lokalna in transnacionalna inovacijska vozlišča pa bodo skrbela za nadaljnjo izmenjavo znanja in inovacij.</w:t>
      </w:r>
    </w:p>
    <w:p w14:paraId="6BB082B3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lang w:val="sl-SI"/>
          <w14:ligatures w14:val="none"/>
        </w:rPr>
        <w:t xml:space="preserve">Partnerji so ponovno potrdili svojo zavezanost nadgradnji teh temeljev ter zagotovili, da bodo orodja, mreže in partnerstva, razvita v okviru projekta Food4CE, še naprej spodbujala </w:t>
      </w:r>
      <w:r w:rsidRPr="00E64D42">
        <w:rPr>
          <w:rFonts w:ascii="Trebuchet MS" w:eastAsia="Times New Roman" w:hAnsi="Trebuchet MS" w:cs="Times New Roman"/>
          <w:b/>
          <w:bCs/>
          <w:lang w:val="sl-SI"/>
          <w14:ligatures w14:val="none"/>
        </w:rPr>
        <w:t>prehod k bolj odpornim, trajnostnim in sodelovalnim prehranskim sistemom v Srednji Evropi.</w:t>
      </w:r>
    </w:p>
    <w:p w14:paraId="6D92F074" w14:textId="77777777" w:rsidR="00E64D42" w:rsidRPr="00E64D42" w:rsidRDefault="00A55628" w:rsidP="00E64D42">
      <w:pPr>
        <w:jc w:val="both"/>
        <w:rPr>
          <w:rFonts w:ascii="Trebuchet MS" w:eastAsia="Times New Roman" w:hAnsi="Trebuchet MS" w:cs="Times New Roman"/>
          <w:lang w:val="sl-SI"/>
          <w14:ligatures w14:val="none"/>
        </w:rPr>
      </w:pPr>
      <w:r>
        <w:rPr>
          <w:rFonts w:ascii="Trebuchet MS" w:eastAsia="Times New Roman" w:hAnsi="Trebuchet MS" w:cs="Times New Roman"/>
          <w:lang w:val="sl-SI"/>
          <w14:ligatures w14:val="none"/>
        </w:rPr>
        <w:pict w14:anchorId="09B295B0">
          <v:rect id="_x0000_i1025" style="width:0;height:1.5pt" o:hralign="center" o:hrstd="t" o:hr="t" fillcolor="#a0a0a0" stroked="f"/>
        </w:pict>
      </w:r>
    </w:p>
    <w:p w14:paraId="391F93D8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i/>
          <w:iCs/>
          <w:sz w:val="20"/>
          <w:szCs w:val="20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i/>
          <w:iCs/>
          <w:sz w:val="20"/>
          <w:szCs w:val="20"/>
          <w:lang w:val="sl-SI"/>
          <w14:ligatures w14:val="none"/>
        </w:rPr>
        <w:t>Food4CE je evropski projekt, financiran v okviru programa INTERREG Central Europe, katerega cilj je podpirati alternativne prehranske mreže (APM) pri njihovih prizadevanjih za vzpostavitev trajnostnih in odpornih sistemov oskrbe s hrano. APM imajo ključno vlogo pri spodbujanju kratkih prehranskih dobavnih verig  in zmanjševanju ogljičnega odtisa distribucije hrane. Kljub njihovi pomembnosti se APM soočajo z izzivi, kot so omejeno znanje o logističnem sodelovanju, digitalizaciji in učinkovitih dostavnih sistemih.</w:t>
      </w:r>
    </w:p>
    <w:p w14:paraId="0B778922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i/>
          <w:iCs/>
          <w:sz w:val="20"/>
          <w:szCs w:val="20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i/>
          <w:iCs/>
          <w:sz w:val="20"/>
          <w:szCs w:val="20"/>
          <w:lang w:val="sl-SI"/>
          <w14:ligatures w14:val="none"/>
        </w:rPr>
        <w:t xml:space="preserve">Za več informacij o projektu Food4CE: </w:t>
      </w:r>
      <w:hyperlink r:id="rId10" w:tgtFrame="_new" w:history="1">
        <w:r w:rsidRPr="00E64D42">
          <w:rPr>
            <w:rFonts w:ascii="Trebuchet MS" w:eastAsia="Times New Roman" w:hAnsi="Trebuchet MS" w:cs="Times New Roman"/>
            <w:i/>
            <w:iCs/>
            <w:color w:val="467886"/>
            <w:sz w:val="20"/>
            <w:szCs w:val="20"/>
            <w:u w:val="single"/>
            <w:lang w:val="sl-SI"/>
            <w14:ligatures w14:val="none"/>
          </w:rPr>
          <w:t>www.interreg-central.eu/projects/food4ce</w:t>
        </w:r>
      </w:hyperlink>
    </w:p>
    <w:p w14:paraId="03D491A8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i/>
          <w:iCs/>
          <w:sz w:val="20"/>
          <w:szCs w:val="20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i/>
          <w:iCs/>
          <w:sz w:val="20"/>
          <w:szCs w:val="20"/>
          <w:lang w:val="sl-SI"/>
          <w14:ligatures w14:val="none"/>
        </w:rPr>
        <w:t xml:space="preserve">Obiščite Platformo za prenos znanja: </w:t>
      </w:r>
      <w:hyperlink r:id="rId11" w:tgtFrame="_new" w:history="1">
        <w:r w:rsidRPr="00E64D42">
          <w:rPr>
            <w:rFonts w:ascii="Trebuchet MS" w:eastAsia="Times New Roman" w:hAnsi="Trebuchet MS" w:cs="Times New Roman"/>
            <w:i/>
            <w:iCs/>
            <w:color w:val="467886"/>
            <w:sz w:val="20"/>
            <w:szCs w:val="20"/>
            <w:u w:val="single"/>
            <w:lang w:val="sl-SI"/>
            <w14:ligatures w14:val="none"/>
          </w:rPr>
          <w:t>www.openenlocc.net/food4ce</w:t>
        </w:r>
      </w:hyperlink>
    </w:p>
    <w:p w14:paraId="0CE48545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i/>
          <w:iCs/>
          <w:sz w:val="20"/>
          <w:szCs w:val="20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i/>
          <w:iCs/>
          <w:sz w:val="20"/>
          <w:szCs w:val="20"/>
          <w:lang w:val="sl-SI"/>
          <w14:ligatures w14:val="none"/>
        </w:rPr>
        <w:t xml:space="preserve">Obiščite Platformo za povezovanje: </w:t>
      </w:r>
      <w:hyperlink r:id="rId12" w:tgtFrame="_new" w:history="1">
        <w:r w:rsidRPr="00E64D42">
          <w:rPr>
            <w:rFonts w:ascii="Trebuchet MS" w:eastAsia="Times New Roman" w:hAnsi="Trebuchet MS" w:cs="Times New Roman"/>
            <w:i/>
            <w:iCs/>
            <w:color w:val="467886"/>
            <w:sz w:val="20"/>
            <w:szCs w:val="20"/>
            <w:u w:val="single"/>
            <w:lang w:val="sl-SI"/>
            <w14:ligatures w14:val="none"/>
          </w:rPr>
          <w:t>www.food4ce-mp.eu/en</w:t>
        </w:r>
      </w:hyperlink>
    </w:p>
    <w:p w14:paraId="35D95420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i/>
          <w:iCs/>
          <w:sz w:val="20"/>
          <w:szCs w:val="20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i/>
          <w:iCs/>
          <w:sz w:val="20"/>
          <w:szCs w:val="20"/>
          <w:lang w:val="sl-SI"/>
          <w14:ligatures w14:val="none"/>
        </w:rPr>
        <w:t>Kontakt:</w:t>
      </w:r>
    </w:p>
    <w:p w14:paraId="6D7D21F8" w14:textId="77777777" w:rsidR="00E64D42" w:rsidRPr="00E64D42" w:rsidRDefault="00E64D42" w:rsidP="00E64D42">
      <w:pPr>
        <w:jc w:val="both"/>
        <w:rPr>
          <w:rFonts w:ascii="Trebuchet MS" w:eastAsia="Times New Roman" w:hAnsi="Trebuchet MS" w:cs="Times New Roman"/>
          <w:i/>
          <w:iCs/>
          <w:sz w:val="20"/>
          <w:szCs w:val="20"/>
          <w:lang w:val="sl-SI"/>
          <w14:ligatures w14:val="none"/>
        </w:rPr>
      </w:pPr>
      <w:r w:rsidRPr="00E64D42">
        <w:rPr>
          <w:rFonts w:ascii="Trebuchet MS" w:eastAsia="Times New Roman" w:hAnsi="Trebuchet MS" w:cs="Times New Roman"/>
          <w:i/>
          <w:iCs/>
          <w:sz w:val="20"/>
          <w:szCs w:val="20"/>
          <w:lang w:val="sl-SI"/>
          <w14:ligatures w14:val="none"/>
        </w:rPr>
        <w:t xml:space="preserve">Elisa Bianchi – vodja komuniciranja projekta Food4CE: </w:t>
      </w:r>
      <w:hyperlink r:id="rId13" w:history="1">
        <w:r w:rsidRPr="00E64D42">
          <w:rPr>
            <w:rFonts w:ascii="Trebuchet MS" w:eastAsia="Times New Roman" w:hAnsi="Trebuchet MS" w:cs="Times New Roman"/>
            <w:i/>
            <w:iCs/>
            <w:color w:val="467886"/>
            <w:sz w:val="20"/>
            <w:szCs w:val="20"/>
            <w:u w:val="single"/>
            <w:lang w:val="sl-SI"/>
            <w14:ligatures w14:val="none"/>
          </w:rPr>
          <w:t>elisa.bianchi@openenlocc.net</w:t>
        </w:r>
      </w:hyperlink>
      <w:r w:rsidRPr="00E64D42">
        <w:rPr>
          <w:rFonts w:ascii="Trebuchet MS" w:eastAsia="Times New Roman" w:hAnsi="Trebuchet MS" w:cs="Times New Roman"/>
          <w:i/>
          <w:iCs/>
          <w:sz w:val="20"/>
          <w:szCs w:val="20"/>
          <w:lang w:val="sl-SI"/>
          <w14:ligatures w14:val="none"/>
        </w:rPr>
        <w:t xml:space="preserve"> </w:t>
      </w:r>
    </w:p>
    <w:p w14:paraId="629621CB" w14:textId="31EDC530" w:rsidR="000A1263" w:rsidRPr="00C34BE4" w:rsidRDefault="000A1263" w:rsidP="00E64D42">
      <w:pPr>
        <w:spacing w:after="0"/>
        <w:rPr>
          <w:rFonts w:ascii="Trebuchet MS" w:hAnsi="Trebuchet MS"/>
          <w:i/>
          <w:iCs/>
          <w:sz w:val="20"/>
          <w:szCs w:val="20"/>
        </w:rPr>
      </w:pPr>
    </w:p>
    <w:sectPr w:rsidR="000A1263" w:rsidRPr="00C34BE4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A754" w14:textId="77777777" w:rsidR="00A55628" w:rsidRDefault="00A55628" w:rsidP="00A74C19">
      <w:pPr>
        <w:spacing w:after="0" w:line="240" w:lineRule="auto"/>
      </w:pPr>
      <w:r>
        <w:separator/>
      </w:r>
    </w:p>
  </w:endnote>
  <w:endnote w:type="continuationSeparator" w:id="0">
    <w:p w14:paraId="2A7B4ADC" w14:textId="77777777" w:rsidR="00A55628" w:rsidRDefault="00A55628" w:rsidP="00A7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0A70" w14:textId="77777777" w:rsidR="00A55628" w:rsidRDefault="00A55628" w:rsidP="00A74C19">
      <w:pPr>
        <w:spacing w:after="0" w:line="240" w:lineRule="auto"/>
      </w:pPr>
      <w:r>
        <w:separator/>
      </w:r>
    </w:p>
  </w:footnote>
  <w:footnote w:type="continuationSeparator" w:id="0">
    <w:p w14:paraId="0FAA2B65" w14:textId="77777777" w:rsidR="00A55628" w:rsidRDefault="00A55628" w:rsidP="00A7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EA32" w14:textId="2BE92D11" w:rsidR="0091421E" w:rsidRDefault="0091421E">
    <w:pPr>
      <w:pStyle w:val="Glava"/>
    </w:pPr>
    <w:r>
      <w:rPr>
        <w:b/>
        <w:bCs/>
        <w:noProof/>
        <w:lang w:val="en-GB"/>
      </w:rPr>
      <w:drawing>
        <wp:anchor distT="0" distB="0" distL="114300" distR="114300" simplePos="0" relativeHeight="251659264" behindDoc="0" locked="0" layoutInCell="1" allowOverlap="1" wp14:anchorId="2B72ABE9" wp14:editId="66180BF1">
          <wp:simplePos x="0" y="0"/>
          <wp:positionH relativeFrom="margin">
            <wp:align>center</wp:align>
          </wp:positionH>
          <wp:positionV relativeFrom="paragraph">
            <wp:posOffset>-126934</wp:posOffset>
          </wp:positionV>
          <wp:extent cx="2222500" cy="944880"/>
          <wp:effectExtent l="0" t="0" r="6350" b="7620"/>
          <wp:wrapTopAndBottom/>
          <wp:docPr id="913871902" name="Picture 1" descr="A blue and green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871902" name="Picture 1" descr="A blue and green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PNm7Hkgnmj6Yy" int2:id="o47b0ax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990"/>
    <w:multiLevelType w:val="hybridMultilevel"/>
    <w:tmpl w:val="EF0E7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B0237"/>
    <w:multiLevelType w:val="multilevel"/>
    <w:tmpl w:val="4F98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A6687"/>
    <w:multiLevelType w:val="hybridMultilevel"/>
    <w:tmpl w:val="FFFFFFFF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E6079"/>
    <w:multiLevelType w:val="multilevel"/>
    <w:tmpl w:val="A1B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01711"/>
    <w:multiLevelType w:val="multilevel"/>
    <w:tmpl w:val="5366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970707">
    <w:abstractNumId w:val="4"/>
  </w:num>
  <w:num w:numId="2" w16cid:durableId="1533611696">
    <w:abstractNumId w:val="1"/>
  </w:num>
  <w:num w:numId="3" w16cid:durableId="1284532547">
    <w:abstractNumId w:val="3"/>
  </w:num>
  <w:num w:numId="4" w16cid:durableId="1510876679">
    <w:abstractNumId w:val="0"/>
  </w:num>
  <w:num w:numId="5" w16cid:durableId="1296520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19"/>
    <w:rsid w:val="00051E93"/>
    <w:rsid w:val="000A1263"/>
    <w:rsid w:val="00217E73"/>
    <w:rsid w:val="002A211F"/>
    <w:rsid w:val="004E6957"/>
    <w:rsid w:val="0057507C"/>
    <w:rsid w:val="005A684E"/>
    <w:rsid w:val="00602ECE"/>
    <w:rsid w:val="0065580F"/>
    <w:rsid w:val="006C043B"/>
    <w:rsid w:val="00743D57"/>
    <w:rsid w:val="007C640C"/>
    <w:rsid w:val="0091421E"/>
    <w:rsid w:val="00A3520B"/>
    <w:rsid w:val="00A366BA"/>
    <w:rsid w:val="00A55628"/>
    <w:rsid w:val="00A74C19"/>
    <w:rsid w:val="00AF038E"/>
    <w:rsid w:val="00C34BE4"/>
    <w:rsid w:val="00C6168B"/>
    <w:rsid w:val="00D44855"/>
    <w:rsid w:val="00DA7AB2"/>
    <w:rsid w:val="00E41D8F"/>
    <w:rsid w:val="00E64D42"/>
    <w:rsid w:val="00E97620"/>
    <w:rsid w:val="00E97EC9"/>
    <w:rsid w:val="00EB5CE9"/>
    <w:rsid w:val="00F72A0C"/>
    <w:rsid w:val="00FE458D"/>
    <w:rsid w:val="02B2F24D"/>
    <w:rsid w:val="0414D13B"/>
    <w:rsid w:val="099737F3"/>
    <w:rsid w:val="09CB02AF"/>
    <w:rsid w:val="12010A97"/>
    <w:rsid w:val="1F312955"/>
    <w:rsid w:val="28FADF31"/>
    <w:rsid w:val="3D3C8622"/>
    <w:rsid w:val="4A17A1AE"/>
    <w:rsid w:val="4EAD5371"/>
    <w:rsid w:val="563E2550"/>
    <w:rsid w:val="60EBEE8C"/>
    <w:rsid w:val="63BA73CC"/>
    <w:rsid w:val="67A7E1C8"/>
    <w:rsid w:val="711C68BE"/>
    <w:rsid w:val="7393C13E"/>
    <w:rsid w:val="74114A9D"/>
    <w:rsid w:val="74704971"/>
    <w:rsid w:val="79F8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2C35"/>
  <w15:chartTrackingRefBased/>
  <w15:docId w15:val="{2DF49CCB-2452-4232-80E8-6C3B0887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7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7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7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7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7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7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7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7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7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MEDCOLOURS">
    <w:name w:val="TAB MED COLOURS"/>
    <w:basedOn w:val="Navadnatabela"/>
    <w:uiPriority w:val="99"/>
    <w:rsid w:val="006C043B"/>
    <w:pPr>
      <w:spacing w:after="0" w:line="240" w:lineRule="auto"/>
    </w:pPr>
    <w:rPr>
      <w:rFonts w:ascii="Montserrat" w:eastAsia="Times New Roman" w:hAnsi="Montserrat" w:cs="Times New Roman"/>
      <w:kern w:val="0"/>
      <w:sz w:val="18"/>
      <w:szCs w:val="20"/>
      <w:lang w:val="de-AT"/>
      <w14:ligatures w14:val="none"/>
    </w:rPr>
    <w:tblPr/>
  </w:style>
  <w:style w:type="character" w:customStyle="1" w:styleId="Naslov1Znak">
    <w:name w:val="Naslov 1 Znak"/>
    <w:basedOn w:val="Privzetapisavaodstavka"/>
    <w:link w:val="Naslov1"/>
    <w:uiPriority w:val="9"/>
    <w:rsid w:val="00A7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7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7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74C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74C1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74C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74C1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74C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74C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7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7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7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7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7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74C1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74C1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74C1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7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74C1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74C19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A74C1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74C1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74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74C19"/>
  </w:style>
  <w:style w:type="paragraph" w:styleId="Noga">
    <w:name w:val="footer"/>
    <w:basedOn w:val="Navaden"/>
    <w:link w:val="NogaZnak"/>
    <w:uiPriority w:val="99"/>
    <w:unhideWhenUsed/>
    <w:rsid w:val="00A74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4C19"/>
  </w:style>
  <w:style w:type="paragraph" w:styleId="Navadensplet">
    <w:name w:val="Normal (Web)"/>
    <w:basedOn w:val="Navaden"/>
    <w:uiPriority w:val="99"/>
    <w:semiHidden/>
    <w:unhideWhenUsed/>
    <w:rsid w:val="00E976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isa.bianchi@openenlocc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ood4ce-mp.eu/en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penenlocc.net/food4c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nterreg-central.eu/projects/food4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8fd8bca60a9feaf73c0832c3daa8e56b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11fb232c53c014994940eda93eef354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7310B-8294-4E1B-A434-1B514D7CC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B005D-BD74-4374-A172-25CE80DF78DF}">
  <ds:schemaRefs>
    <ds:schemaRef ds:uri="http://schemas.microsoft.com/office/2006/metadata/properties"/>
    <ds:schemaRef ds:uri="http://schemas.microsoft.com/office/infopath/2007/PartnerControls"/>
    <ds:schemaRef ds:uri="f42627c6-e217-499c-b5a7-cf370326ee79"/>
    <ds:schemaRef ds:uri="a63e6597-4531-4dc2-bc76-96d4fb27f392"/>
  </ds:schemaRefs>
</ds:datastoreItem>
</file>

<file path=customXml/itemProps3.xml><?xml version="1.0" encoding="utf-8"?>
<ds:datastoreItem xmlns:ds="http://schemas.openxmlformats.org/officeDocument/2006/customXml" ds:itemID="{AE9B5FBD-84B7-42B4-B2F3-D36A17ECA3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Bianchi</dc:creator>
  <cp:keywords/>
  <dc:description/>
  <cp:lastModifiedBy>Vesna Gorjup Janžekovič</cp:lastModifiedBy>
  <cp:revision>3</cp:revision>
  <dcterms:created xsi:type="dcterms:W3CDTF">2026-02-23T13:23:00Z</dcterms:created>
  <dcterms:modified xsi:type="dcterms:W3CDTF">2026-02-27T09:53:00Z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MediaServiceImageTags">
    <vt:lpwstr/>
  </property>
</Properties>
</file>