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C389" w14:textId="0352CF84" w:rsidR="004E795B" w:rsidRPr="005C6496" w:rsidRDefault="004E795B" w:rsidP="004E795B">
      <w:pPr>
        <w:spacing w:after="160" w:line="288" w:lineRule="auto"/>
        <w:jc w:val="both"/>
        <w:rPr>
          <w:rFonts w:cs="Calibri"/>
          <w:kern w:val="2"/>
          <w:sz w:val="20"/>
          <w:szCs w:val="20"/>
          <w14:ligatures w14:val="standardContextual"/>
        </w:rPr>
      </w:pPr>
      <w:r w:rsidRPr="005C6496">
        <w:rPr>
          <w:rFonts w:cs="Calibri"/>
          <w:noProof/>
          <w:kern w:val="2"/>
          <w:sz w:val="20"/>
          <w:szCs w:val="20"/>
          <w14:ligatures w14:val="standardContextual"/>
        </w:rPr>
        <mc:AlternateContent>
          <mc:Choice Requires="wps">
            <w:drawing>
              <wp:anchor distT="0" distB="0" distL="114300" distR="114300" simplePos="0" relativeHeight="251659264" behindDoc="0" locked="0" layoutInCell="1" allowOverlap="1" wp14:anchorId="3629626F" wp14:editId="1AEFB57A">
                <wp:simplePos x="0" y="0"/>
                <wp:positionH relativeFrom="column">
                  <wp:posOffset>-2021</wp:posOffset>
                </wp:positionH>
                <wp:positionV relativeFrom="paragraph">
                  <wp:posOffset>224848</wp:posOffset>
                </wp:positionV>
                <wp:extent cx="6062749" cy="0"/>
                <wp:effectExtent l="0" t="0" r="0" b="0"/>
                <wp:wrapNone/>
                <wp:docPr id="1905733374" name="Raven povezovalnik 5"/>
                <wp:cNvGraphicFramePr/>
                <a:graphic xmlns:a="http://schemas.openxmlformats.org/drawingml/2006/main">
                  <a:graphicData uri="http://schemas.microsoft.com/office/word/2010/wordprocessingShape">
                    <wps:wsp>
                      <wps:cNvCnPr/>
                      <wps:spPr>
                        <a:xfrm>
                          <a:off x="0" y="0"/>
                          <a:ext cx="6062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91065" id="Raven povezovalnik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7.7pt" to="477.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" strokecolor="black [3200]" strokeweight=".5pt">
                <v:stroke joinstyle="miter"/>
              </v:line>
            </w:pict>
          </mc:Fallback>
        </mc:AlternateContent>
      </w:r>
      <w:r>
        <w:rPr>
          <w:rFonts w:cs="Calibri"/>
          <w:kern w:val="2"/>
          <w:sz w:val="20"/>
          <w:szCs w:val="20"/>
          <w14:ligatures w14:val="standardContextual"/>
        </w:rPr>
        <w:t>Sporočilo za javnost</w:t>
      </w:r>
    </w:p>
    <w:p w14:paraId="715D378C" w14:textId="77777777" w:rsidR="00EE1D44" w:rsidRDefault="00EE1D44" w:rsidP="00EE1D44">
      <w:pPr>
        <w:spacing w:line="288" w:lineRule="auto"/>
        <w:jc w:val="both"/>
        <w:rPr>
          <w:b/>
          <w:bCs/>
        </w:rPr>
      </w:pPr>
      <w:r w:rsidRPr="00EE1D44">
        <w:rPr>
          <w:b/>
          <w:bCs/>
        </w:rPr>
        <w:t xml:space="preserve">RRA Podravje - Maribor vstopa v ključno razvojno leto: </w:t>
      </w:r>
    </w:p>
    <w:p w14:paraId="27ACB4D5" w14:textId="6FECFAC4" w:rsidR="00EE1D44" w:rsidRPr="00EE1D44" w:rsidRDefault="00EE1D44" w:rsidP="00EE1D44">
      <w:pPr>
        <w:spacing w:line="288" w:lineRule="auto"/>
        <w:jc w:val="both"/>
        <w:rPr>
          <w:b/>
          <w:bCs/>
        </w:rPr>
      </w:pPr>
      <w:r w:rsidRPr="00EE1D44">
        <w:rPr>
          <w:b/>
          <w:bCs/>
        </w:rPr>
        <w:t>Od novega Regijskega razvojnega programa do mednarodne Podnebne konference</w:t>
      </w:r>
    </w:p>
    <w:p w14:paraId="461343F7" w14:textId="77777777" w:rsidR="00EE1D44" w:rsidRDefault="00EE1D44" w:rsidP="004E795B">
      <w:pPr>
        <w:spacing w:line="288" w:lineRule="auto"/>
        <w:jc w:val="both"/>
        <w:rPr>
          <w:b/>
          <w:bCs/>
        </w:rPr>
      </w:pPr>
    </w:p>
    <w:p w14:paraId="219A4CB0" w14:textId="77777777" w:rsidR="007B4CF2" w:rsidRPr="00445543" w:rsidRDefault="00EE1D44" w:rsidP="00EE1D44">
      <w:pPr>
        <w:spacing w:line="288" w:lineRule="auto"/>
        <w:jc w:val="both"/>
        <w:rPr>
          <w:b/>
          <w:bCs/>
          <w:sz w:val="20"/>
          <w:szCs w:val="20"/>
        </w:rPr>
      </w:pPr>
      <w:r w:rsidRPr="00445543">
        <w:rPr>
          <w:b/>
          <w:bCs/>
          <w:sz w:val="20"/>
          <w:szCs w:val="20"/>
        </w:rPr>
        <w:t>Maribor</w:t>
      </w:r>
      <w:r w:rsidR="007B4CF2" w:rsidRPr="00445543">
        <w:rPr>
          <w:b/>
          <w:bCs/>
          <w:sz w:val="20"/>
          <w:szCs w:val="20"/>
        </w:rPr>
        <w:t>, 28. januar 2026</w:t>
      </w:r>
      <w:r w:rsidR="004E795B" w:rsidRPr="00445543">
        <w:rPr>
          <w:b/>
          <w:bCs/>
          <w:sz w:val="20"/>
          <w:szCs w:val="20"/>
        </w:rPr>
        <w:t xml:space="preserve">: </w:t>
      </w:r>
      <w:r w:rsidRPr="00EE1D44">
        <w:rPr>
          <w:b/>
          <w:bCs/>
          <w:sz w:val="20"/>
          <w:szCs w:val="20"/>
        </w:rPr>
        <w:t>V minulem letu je Regionalna razvojna agencija za Podravje - Maribor skupaj z občinami, državo in evropskimi partnerji sodelovala pri 62 projektih, od tega 26 evropskih, v okviru finančne perspektive 2021−2027 pa sodeluje pri kar 78 projektih, ki v regijo prinašajo več kot 118 milijonov evrov. Učinki raznolikih projektov segajo neposredno do prebivalcev, lokalnih skupnosti in gospodarstva, hkrati pa podpirajo tudi razvoj celotne podravske regije.</w:t>
      </w:r>
    </w:p>
    <w:p w14:paraId="3057FE25" w14:textId="377CD088" w:rsidR="00EE1D44" w:rsidRPr="00445543" w:rsidRDefault="00EE1D44" w:rsidP="00EE1D44">
      <w:pPr>
        <w:spacing w:line="288" w:lineRule="auto"/>
        <w:jc w:val="both"/>
        <w:rPr>
          <w:sz w:val="20"/>
          <w:szCs w:val="20"/>
        </w:rPr>
      </w:pPr>
      <w:r w:rsidRPr="00EE1D44">
        <w:rPr>
          <w:b/>
          <w:bCs/>
          <w:sz w:val="20"/>
          <w:szCs w:val="20"/>
        </w:rPr>
        <w:br/>
      </w:r>
      <w:r w:rsidRPr="00EE1D44">
        <w:rPr>
          <w:sz w:val="20"/>
          <w:szCs w:val="20"/>
        </w:rPr>
        <w:t>Leto 2026 pa bo čas pomembnih sprememb v regionalnem delovanju. Poročilo OECD, nov zakonodajni okvir o regionalnem razvoju in strategija regionalnega razvoja Slovenije do 2050 jasno kažejo, da dosedanji razvojni modeli ne zadoščajo več. Regije potrebujejo bolj povezano, sistemsko in dolgoročno usmerjeno delovanje – pri čemer imajo regionalne razvojne agencije ključno vlogo kot stičišča znanja, razvoja in napredka.</w:t>
      </w:r>
    </w:p>
    <w:p w14:paraId="4BE45CC6" w14:textId="77777777" w:rsidR="007B4CF2" w:rsidRPr="00EE1D44" w:rsidRDefault="007B4CF2" w:rsidP="00EE1D44">
      <w:pPr>
        <w:spacing w:line="288" w:lineRule="auto"/>
        <w:jc w:val="both"/>
        <w:rPr>
          <w:sz w:val="20"/>
          <w:szCs w:val="20"/>
        </w:rPr>
      </w:pPr>
    </w:p>
    <w:p w14:paraId="3ABD9E8B" w14:textId="77777777" w:rsidR="00EE1D44" w:rsidRPr="00445543" w:rsidRDefault="00EE1D44" w:rsidP="00EE1D44">
      <w:pPr>
        <w:spacing w:line="288" w:lineRule="auto"/>
        <w:jc w:val="both"/>
        <w:rPr>
          <w:i/>
          <w:iCs/>
          <w:sz w:val="20"/>
          <w:szCs w:val="20"/>
        </w:rPr>
      </w:pPr>
      <w:r w:rsidRPr="00EE1D44">
        <w:rPr>
          <w:i/>
          <w:iCs/>
          <w:sz w:val="20"/>
          <w:szCs w:val="20"/>
        </w:rPr>
        <w:t xml:space="preserve">“Leto 2026 bo za Podravje pomembno razvojno leto. Oktobra bomo organizirali mednarodno Podnebno konferenco, saj postaja prilagajanje na podnebne spremembe eno osrednjih razvojnih in varnostnih vprašanj sodobne družbe. Ob tem pripravljamo tudi Strategijo prilagajanja na podnebne spremembe, s katero želimo podpreti prehod od načrtov h konkretnim ukrepom v regiji. Ponosni smo, da je Štajerska prepoznana kot ena izmed 11 Regijskih </w:t>
      </w:r>
      <w:proofErr w:type="spellStart"/>
      <w:r w:rsidRPr="00EE1D44">
        <w:rPr>
          <w:i/>
          <w:iCs/>
          <w:sz w:val="20"/>
          <w:szCs w:val="20"/>
        </w:rPr>
        <w:t>destinacijskih</w:t>
      </w:r>
      <w:proofErr w:type="spellEnd"/>
      <w:r w:rsidRPr="00EE1D44">
        <w:rPr>
          <w:i/>
          <w:iCs/>
          <w:sz w:val="20"/>
          <w:szCs w:val="20"/>
        </w:rPr>
        <w:t xml:space="preserve"> organizacij v Sloveniji in uvrščena med najboljše evropske destinacije 2026, kar je rezultat sodelovanja 41 občin in številnih deležnikov, ki odpira nove priložnosti za trajnostni razvoj turizma,”</w:t>
      </w:r>
      <w:r w:rsidRPr="00EE1D44">
        <w:rPr>
          <w:sz w:val="20"/>
          <w:szCs w:val="20"/>
        </w:rPr>
        <w:t xml:space="preserve"> je povedala </w:t>
      </w:r>
      <w:r w:rsidRPr="00EE1D44">
        <w:rPr>
          <w:b/>
          <w:bCs/>
          <w:sz w:val="20"/>
          <w:szCs w:val="20"/>
        </w:rPr>
        <w:t>direktorica RRA Podravje - Maribor Nataša Ritonija</w:t>
      </w:r>
      <w:r w:rsidRPr="00EE1D44">
        <w:rPr>
          <w:sz w:val="20"/>
          <w:szCs w:val="20"/>
        </w:rPr>
        <w:t xml:space="preserve"> in ob tem dodala še, da se bodo začele priprave strateškega dela Regionalnega razvojnega programa, ki bo usmerjen v večje, povezane regijske projekte z dolgoročnim učinkom. </w:t>
      </w:r>
      <w:r w:rsidRPr="00EE1D44">
        <w:rPr>
          <w:i/>
          <w:iCs/>
          <w:sz w:val="20"/>
          <w:szCs w:val="20"/>
        </w:rPr>
        <w:t>“Naš cilj je jasen: dogovor o razvojni smeri Podravja in konkretni rezultati za ljudi.” </w:t>
      </w:r>
    </w:p>
    <w:p w14:paraId="1BA70356" w14:textId="77777777" w:rsidR="007B4CF2" w:rsidRPr="00EE1D44" w:rsidRDefault="007B4CF2" w:rsidP="00EE1D44">
      <w:pPr>
        <w:spacing w:line="288" w:lineRule="auto"/>
        <w:jc w:val="both"/>
        <w:rPr>
          <w:sz w:val="20"/>
          <w:szCs w:val="20"/>
        </w:rPr>
      </w:pPr>
    </w:p>
    <w:p w14:paraId="3812167F" w14:textId="77777777" w:rsidR="000554FD" w:rsidRDefault="00EE1D44" w:rsidP="00EE1D44">
      <w:pPr>
        <w:spacing w:line="288" w:lineRule="auto"/>
        <w:jc w:val="both"/>
        <w:rPr>
          <w:sz w:val="20"/>
          <w:szCs w:val="20"/>
        </w:rPr>
      </w:pPr>
      <w:r w:rsidRPr="00EE1D44">
        <w:rPr>
          <w:sz w:val="20"/>
          <w:szCs w:val="20"/>
        </w:rPr>
        <w:t>RRA Podravje - Maribor pozdravlja uvrstitev novele </w:t>
      </w:r>
      <w:r w:rsidRPr="00EE1D44">
        <w:rPr>
          <w:i/>
          <w:iCs/>
          <w:sz w:val="20"/>
          <w:szCs w:val="20"/>
        </w:rPr>
        <w:t>Zakona o spodbujanju skladnega regionalnega razvoja</w:t>
      </w:r>
      <w:r w:rsidRPr="00EE1D44">
        <w:rPr>
          <w:sz w:val="20"/>
          <w:szCs w:val="20"/>
        </w:rPr>
        <w:t> v parlamentarno proceduro, saj ta prinaša pomembne sistemske premike k bolj strukturiranemu in partnerskemu izvajanju regionalne politike. Posebej pomembna je okrepitev vloge razvojnih regij in regionalnih razvojnih agencij ter uvedba obveznega teritorialnega dialoga, ki odpira prostor za manj centralizirano odločanje in boljše usklajevanje razvojnih prioritet. Hkrati pa ostaja ključno, da se skozi akcijski program in financiranje zagotovi tesno sodelovanje med regijami ter podpora večjim, strateškim projektom, z učinkom na celotno regijo.</w:t>
      </w:r>
    </w:p>
    <w:p w14:paraId="177810D1" w14:textId="28F5CFB8" w:rsidR="00EE1D44" w:rsidRPr="00EE1D44" w:rsidRDefault="00EE1D44" w:rsidP="00EE1D44">
      <w:pPr>
        <w:spacing w:line="288" w:lineRule="auto"/>
        <w:jc w:val="both"/>
      </w:pPr>
      <w:r w:rsidRPr="00EE1D44">
        <w:rPr>
          <w:sz w:val="20"/>
          <w:szCs w:val="20"/>
        </w:rPr>
        <w:br/>
        <w:t>RRA Podravje - Maribor bo tudi v prihodnje, z ekipo 65 strokovnjakov, skupaj z območnimi razvojnimi organizacijami, v tesnem sodelovanju z občinami, državo, gospodarstvom in drugimi deležniki, prepoznavala osrednje regijske izzive ter jih pretvarjala v konkretne učinke za ljudi. Ta prehod pa zahteva širše partnerstvo. Mediji imajo pri tem ključno vlogo – pri obveščanju, razumevanju projektov in pripovedovanju zgodb dobrih praks. Skupni cilj ostaja jasen: oblikovati močne in povezane regije, ki se bodo povezovale v močno Slovenijo.</w:t>
      </w:r>
      <w:r w:rsidRPr="00EE1D44">
        <w:t> </w:t>
      </w:r>
    </w:p>
    <w:p w14:paraId="38F45B4D" w14:textId="152A0449" w:rsidR="004E795B" w:rsidRDefault="004E795B" w:rsidP="004E795B">
      <w:pPr>
        <w:spacing w:line="288" w:lineRule="auto"/>
        <w:jc w:val="both"/>
        <w:rPr>
          <w:rFonts w:cs="Arial"/>
          <w:color w:val="000000"/>
          <w:sz w:val="20"/>
          <w:szCs w:val="20"/>
        </w:rPr>
      </w:pPr>
      <w:r>
        <w:rPr>
          <w:rFonts w:cs="Arial"/>
          <w:noProof/>
          <w:color w:val="000000"/>
          <w:sz w:val="20"/>
          <w:szCs w:val="20"/>
          <w14:ligatures w14:val="standardContextual"/>
        </w:rPr>
        <mc:AlternateContent>
          <mc:Choice Requires="wps">
            <w:drawing>
              <wp:anchor distT="0" distB="0" distL="114300" distR="114300" simplePos="0" relativeHeight="251671552" behindDoc="0" locked="0" layoutInCell="1" allowOverlap="1" wp14:anchorId="29273B3C" wp14:editId="61182D15">
                <wp:simplePos x="0" y="0"/>
                <wp:positionH relativeFrom="margin">
                  <wp:align>left</wp:align>
                </wp:positionH>
                <wp:positionV relativeFrom="paragraph">
                  <wp:posOffset>135145</wp:posOffset>
                </wp:positionV>
                <wp:extent cx="4333461" cy="0"/>
                <wp:effectExtent l="0" t="0" r="0" b="0"/>
                <wp:wrapNone/>
                <wp:docPr id="165978456" name="Raven povezovalnik 13"/>
                <wp:cNvGraphicFramePr/>
                <a:graphic xmlns:a="http://schemas.openxmlformats.org/drawingml/2006/main">
                  <a:graphicData uri="http://schemas.microsoft.com/office/word/2010/wordprocessingShape">
                    <wps:wsp>
                      <wps:cNvCnPr/>
                      <wps:spPr>
                        <a:xfrm flipV="1">
                          <a:off x="0" y="0"/>
                          <a:ext cx="4333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276E6" id="Raven povezovalnik 13"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65pt" to="341.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" strokecolor="black [3200]" strokeweight=".5pt">
                <v:stroke joinstyle="miter"/>
                <w10:wrap anchorx="margin"/>
              </v:line>
            </w:pict>
          </mc:Fallback>
        </mc:AlternateContent>
      </w:r>
    </w:p>
    <w:p w14:paraId="115F6075" w14:textId="77777777" w:rsidR="004E795B" w:rsidRPr="00217BB3" w:rsidRDefault="004E795B" w:rsidP="004E795B">
      <w:pPr>
        <w:spacing w:line="288" w:lineRule="auto"/>
        <w:jc w:val="both"/>
        <w:rPr>
          <w:rFonts w:cs="Calibri"/>
          <w:i/>
          <w:iCs/>
          <w:sz w:val="18"/>
          <w:szCs w:val="18"/>
        </w:rPr>
      </w:pPr>
      <w:r w:rsidRPr="00217BB3">
        <w:rPr>
          <w:rFonts w:cs="Calibri"/>
          <w:i/>
          <w:iCs/>
          <w:sz w:val="18"/>
          <w:szCs w:val="18"/>
        </w:rPr>
        <w:t>Dodatne informacije:</w:t>
      </w:r>
    </w:p>
    <w:p w14:paraId="782437FB" w14:textId="5FE118F5" w:rsidR="004E795B" w:rsidRDefault="00996BED" w:rsidP="004E795B">
      <w:pPr>
        <w:pStyle w:val="Odstavekseznama"/>
        <w:numPr>
          <w:ilvl w:val="0"/>
          <w:numId w:val="1"/>
        </w:numPr>
        <w:spacing w:after="160" w:line="288" w:lineRule="auto"/>
        <w:jc w:val="both"/>
        <w:rPr>
          <w:rFonts w:cs="Calibri"/>
          <w:i/>
          <w:iCs/>
          <w:sz w:val="18"/>
          <w:szCs w:val="18"/>
        </w:rPr>
      </w:pPr>
      <w:r>
        <w:rPr>
          <w:rFonts w:cs="Calibri"/>
          <w:i/>
          <w:iCs/>
          <w:sz w:val="18"/>
          <w:szCs w:val="18"/>
        </w:rPr>
        <w:t xml:space="preserve">Klavdija Gornik, odnosi z javnostmi, RRA Podravje </w:t>
      </w:r>
      <w:r w:rsidR="00693B5C">
        <w:rPr>
          <w:rFonts w:cs="Calibri"/>
          <w:i/>
          <w:iCs/>
          <w:sz w:val="18"/>
          <w:szCs w:val="18"/>
        </w:rPr>
        <w:t>-</w:t>
      </w:r>
      <w:r>
        <w:rPr>
          <w:rFonts w:cs="Calibri"/>
          <w:i/>
          <w:iCs/>
          <w:sz w:val="18"/>
          <w:szCs w:val="18"/>
        </w:rPr>
        <w:t xml:space="preserve"> Maribor, </w:t>
      </w:r>
      <w:r w:rsidR="00B312CB">
        <w:rPr>
          <w:rFonts w:cs="Calibri"/>
          <w:i/>
          <w:iCs/>
          <w:sz w:val="18"/>
          <w:szCs w:val="18"/>
        </w:rPr>
        <w:t xml:space="preserve">070 455 405, </w:t>
      </w:r>
      <w:hyperlink r:id="rId7" w:history="1">
        <w:r w:rsidR="00EF22D2" w:rsidRPr="008877C3">
          <w:rPr>
            <w:rStyle w:val="Hiperpovezava"/>
            <w:rFonts w:cs="Calibri"/>
            <w:i/>
            <w:iCs/>
            <w:sz w:val="18"/>
            <w:szCs w:val="18"/>
          </w:rPr>
          <w:t>klavdija.gornik@rra-podravje.si</w:t>
        </w:r>
      </w:hyperlink>
      <w:r w:rsidR="00EF22D2">
        <w:rPr>
          <w:rFonts w:cs="Calibri"/>
          <w:i/>
          <w:iCs/>
          <w:sz w:val="18"/>
          <w:szCs w:val="18"/>
        </w:rPr>
        <w:t xml:space="preserve"> </w:t>
      </w:r>
    </w:p>
    <w:p w14:paraId="3C5B2B35" w14:textId="77777777" w:rsidR="00834BAA" w:rsidRDefault="00834BAA"/>
    <w:sectPr w:rsidR="00834BAA" w:rsidSect="004E795B">
      <w:headerReference w:type="default" r:id="rId8"/>
      <w:headerReference w:type="first" r:id="rId9"/>
      <w:footerReference w:type="first" r:id="rId10"/>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11D6" w14:textId="77777777" w:rsidR="003666C0" w:rsidRDefault="003666C0">
      <w:r>
        <w:separator/>
      </w:r>
    </w:p>
  </w:endnote>
  <w:endnote w:type="continuationSeparator" w:id="0">
    <w:p w14:paraId="0825BBAA" w14:textId="77777777" w:rsidR="003666C0" w:rsidRDefault="0036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3B9C" w14:textId="77777777" w:rsidR="004E795B" w:rsidRPr="000B1E06" w:rsidRDefault="004E795B" w:rsidP="006168C3">
    <w:pPr>
      <w:pStyle w:val="Noga"/>
    </w:pPr>
    <w:r>
      <w:rPr>
        <w:noProof/>
      </w:rPr>
      <w:drawing>
        <wp:anchor distT="0" distB="0" distL="114300" distR="114300" simplePos="0" relativeHeight="251656192" behindDoc="1" locked="1" layoutInCell="1" allowOverlap="1" wp14:anchorId="77C5E29B" wp14:editId="7D934479">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D567" w14:textId="77777777" w:rsidR="003666C0" w:rsidRDefault="003666C0">
      <w:r>
        <w:separator/>
      </w:r>
    </w:p>
  </w:footnote>
  <w:footnote w:type="continuationSeparator" w:id="0">
    <w:p w14:paraId="40EF28CB" w14:textId="77777777" w:rsidR="003666C0" w:rsidRDefault="0036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C1C4" w14:textId="77777777" w:rsidR="004E795B" w:rsidRDefault="004E795B">
    <w:pPr>
      <w:pStyle w:val="Glava"/>
    </w:pPr>
    <w:r w:rsidRPr="00655DC0">
      <w:rPr>
        <w:noProof/>
      </w:rPr>
      <w:drawing>
        <wp:anchor distT="0" distB="0" distL="114300" distR="114300" simplePos="0" relativeHeight="251655168" behindDoc="1" locked="1" layoutInCell="1" allowOverlap="0" wp14:anchorId="3AE8609B" wp14:editId="7FCEE6CF">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59264" behindDoc="1" locked="1" layoutInCell="1" allowOverlap="1" wp14:anchorId="3F797E7F" wp14:editId="32F6AC2C">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EC40" w14:textId="77777777" w:rsidR="004E795B" w:rsidRDefault="004E795B" w:rsidP="006168C3">
    <w:pPr>
      <w:pStyle w:val="Glava"/>
    </w:pPr>
    <w:r>
      <w:rPr>
        <w:noProof/>
      </w:rPr>
      <w:drawing>
        <wp:anchor distT="0" distB="0" distL="114300" distR="114300" simplePos="0" relativeHeight="251660288" behindDoc="1" locked="1" layoutInCell="1" allowOverlap="1" wp14:anchorId="6BF95ED6" wp14:editId="58B8247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7216" behindDoc="1" locked="1" layoutInCell="1" allowOverlap="0" wp14:anchorId="2B5BB24A" wp14:editId="77D3782D">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1" layoutInCell="1" allowOverlap="1" wp14:anchorId="06B65880" wp14:editId="1C6DED9C">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75456"/>
    <w:multiLevelType w:val="hybridMultilevel"/>
    <w:tmpl w:val="3C62CD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9D5018C"/>
    <w:multiLevelType w:val="hybridMultilevel"/>
    <w:tmpl w:val="196456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722F4178"/>
    <w:multiLevelType w:val="hybridMultilevel"/>
    <w:tmpl w:val="D5F25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57182654">
    <w:abstractNumId w:val="1"/>
  </w:num>
  <w:num w:numId="2" w16cid:durableId="1610238105">
    <w:abstractNumId w:val="0"/>
  </w:num>
  <w:num w:numId="3" w16cid:durableId="19526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9"/>
    <w:rsid w:val="000554FD"/>
    <w:rsid w:val="00240A3E"/>
    <w:rsid w:val="002D2EEC"/>
    <w:rsid w:val="003666C0"/>
    <w:rsid w:val="003A06B3"/>
    <w:rsid w:val="00445543"/>
    <w:rsid w:val="004E795B"/>
    <w:rsid w:val="00693B5C"/>
    <w:rsid w:val="007B4CF2"/>
    <w:rsid w:val="00800D23"/>
    <w:rsid w:val="00834BAA"/>
    <w:rsid w:val="00996BED"/>
    <w:rsid w:val="009A1648"/>
    <w:rsid w:val="00B312CB"/>
    <w:rsid w:val="00CE6879"/>
    <w:rsid w:val="00EE1D44"/>
    <w:rsid w:val="00EF22D2"/>
    <w:rsid w:val="00F20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7291"/>
  <w15:chartTrackingRefBased/>
  <w15:docId w15:val="{DABB57A2-0AD7-488D-B50B-763D7E61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795B"/>
    <w:pPr>
      <w:spacing w:after="0" w:line="240" w:lineRule="auto"/>
    </w:pPr>
    <w:rPr>
      <w:kern w:val="0"/>
      <w:sz w:val="22"/>
      <w:szCs w:val="22"/>
      <w14:ligatures w14:val="none"/>
    </w:rPr>
  </w:style>
  <w:style w:type="paragraph" w:styleId="Naslov1">
    <w:name w:val="heading 1"/>
    <w:basedOn w:val="Navaden"/>
    <w:next w:val="Navaden"/>
    <w:link w:val="Naslov1Znak"/>
    <w:uiPriority w:val="9"/>
    <w:qFormat/>
    <w:rsid w:val="00CE6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E6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E687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E687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E687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E687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E687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E687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E687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E687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E687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E687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E687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E687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E687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E687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E687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E6879"/>
    <w:rPr>
      <w:rFonts w:eastAsiaTheme="majorEastAsia" w:cstheme="majorBidi"/>
      <w:color w:val="272727" w:themeColor="text1" w:themeTint="D8"/>
    </w:rPr>
  </w:style>
  <w:style w:type="paragraph" w:styleId="Naslov">
    <w:name w:val="Title"/>
    <w:basedOn w:val="Navaden"/>
    <w:next w:val="Navaden"/>
    <w:link w:val="NaslovZnak"/>
    <w:uiPriority w:val="10"/>
    <w:qFormat/>
    <w:rsid w:val="00CE687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E687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E687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E687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E6879"/>
    <w:pPr>
      <w:spacing w:before="160"/>
      <w:jc w:val="center"/>
    </w:pPr>
    <w:rPr>
      <w:i/>
      <w:iCs/>
      <w:color w:val="404040" w:themeColor="text1" w:themeTint="BF"/>
    </w:rPr>
  </w:style>
  <w:style w:type="character" w:customStyle="1" w:styleId="CitatZnak">
    <w:name w:val="Citat Znak"/>
    <w:basedOn w:val="Privzetapisavaodstavka"/>
    <w:link w:val="Citat"/>
    <w:uiPriority w:val="29"/>
    <w:rsid w:val="00CE6879"/>
    <w:rPr>
      <w:i/>
      <w:iCs/>
      <w:color w:val="404040" w:themeColor="text1" w:themeTint="BF"/>
    </w:rPr>
  </w:style>
  <w:style w:type="paragraph" w:styleId="Odstavekseznama">
    <w:name w:val="List Paragraph"/>
    <w:basedOn w:val="Navaden"/>
    <w:uiPriority w:val="34"/>
    <w:qFormat/>
    <w:rsid w:val="00CE6879"/>
    <w:pPr>
      <w:ind w:left="720"/>
      <w:contextualSpacing/>
    </w:pPr>
  </w:style>
  <w:style w:type="character" w:styleId="Intenzivenpoudarek">
    <w:name w:val="Intense Emphasis"/>
    <w:basedOn w:val="Privzetapisavaodstavka"/>
    <w:uiPriority w:val="21"/>
    <w:qFormat/>
    <w:rsid w:val="00CE6879"/>
    <w:rPr>
      <w:i/>
      <w:iCs/>
      <w:color w:val="0F4761" w:themeColor="accent1" w:themeShade="BF"/>
    </w:rPr>
  </w:style>
  <w:style w:type="paragraph" w:styleId="Intenzivencitat">
    <w:name w:val="Intense Quote"/>
    <w:basedOn w:val="Navaden"/>
    <w:next w:val="Navaden"/>
    <w:link w:val="IntenzivencitatZnak"/>
    <w:uiPriority w:val="30"/>
    <w:qFormat/>
    <w:rsid w:val="00CE6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E6879"/>
    <w:rPr>
      <w:i/>
      <w:iCs/>
      <w:color w:val="0F4761" w:themeColor="accent1" w:themeShade="BF"/>
    </w:rPr>
  </w:style>
  <w:style w:type="character" w:styleId="Intenzivensklic">
    <w:name w:val="Intense Reference"/>
    <w:basedOn w:val="Privzetapisavaodstavka"/>
    <w:uiPriority w:val="32"/>
    <w:qFormat/>
    <w:rsid w:val="00CE6879"/>
    <w:rPr>
      <w:b/>
      <w:bCs/>
      <w:smallCaps/>
      <w:color w:val="0F4761" w:themeColor="accent1" w:themeShade="BF"/>
      <w:spacing w:val="5"/>
    </w:rPr>
  </w:style>
  <w:style w:type="paragraph" w:styleId="Glava">
    <w:name w:val="header"/>
    <w:basedOn w:val="Navaden"/>
    <w:link w:val="GlavaZnak"/>
    <w:uiPriority w:val="99"/>
    <w:unhideWhenUsed/>
    <w:rsid w:val="004E795B"/>
    <w:pPr>
      <w:tabs>
        <w:tab w:val="center" w:pos="4513"/>
        <w:tab w:val="right" w:pos="9026"/>
      </w:tabs>
    </w:pPr>
  </w:style>
  <w:style w:type="character" w:customStyle="1" w:styleId="GlavaZnak">
    <w:name w:val="Glava Znak"/>
    <w:basedOn w:val="Privzetapisavaodstavka"/>
    <w:link w:val="Glava"/>
    <w:uiPriority w:val="99"/>
    <w:rsid w:val="004E795B"/>
    <w:rPr>
      <w:kern w:val="0"/>
      <w:sz w:val="22"/>
      <w:szCs w:val="22"/>
      <w14:ligatures w14:val="none"/>
    </w:rPr>
  </w:style>
  <w:style w:type="paragraph" w:styleId="Noga">
    <w:name w:val="footer"/>
    <w:basedOn w:val="Navaden"/>
    <w:link w:val="NogaZnak"/>
    <w:uiPriority w:val="99"/>
    <w:unhideWhenUsed/>
    <w:rsid w:val="004E795B"/>
    <w:pPr>
      <w:tabs>
        <w:tab w:val="center" w:pos="4513"/>
        <w:tab w:val="right" w:pos="9026"/>
      </w:tabs>
    </w:pPr>
  </w:style>
  <w:style w:type="character" w:customStyle="1" w:styleId="NogaZnak">
    <w:name w:val="Noga Znak"/>
    <w:basedOn w:val="Privzetapisavaodstavka"/>
    <w:link w:val="Noga"/>
    <w:uiPriority w:val="99"/>
    <w:rsid w:val="004E795B"/>
    <w:rPr>
      <w:kern w:val="0"/>
      <w:sz w:val="22"/>
      <w:szCs w:val="22"/>
      <w14:ligatures w14:val="none"/>
    </w:rPr>
  </w:style>
  <w:style w:type="character" w:styleId="Hiperpovezava">
    <w:name w:val="Hyperlink"/>
    <w:basedOn w:val="Privzetapisavaodstavka"/>
    <w:uiPriority w:val="99"/>
    <w:unhideWhenUsed/>
    <w:rsid w:val="00445543"/>
    <w:rPr>
      <w:color w:val="467886" w:themeColor="hyperlink"/>
      <w:u w:val="single"/>
    </w:rPr>
  </w:style>
  <w:style w:type="character" w:styleId="Nerazreenaomemba">
    <w:name w:val="Unresolved Mention"/>
    <w:basedOn w:val="Privzetapisavaodstavka"/>
    <w:uiPriority w:val="99"/>
    <w:semiHidden/>
    <w:unhideWhenUsed/>
    <w:rsid w:val="0044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vdija.gornik@rra-podrav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Lutarič</dc:creator>
  <cp:keywords/>
  <dc:description/>
  <cp:lastModifiedBy>Jana Lutarič</cp:lastModifiedBy>
  <cp:revision>13</cp:revision>
  <dcterms:created xsi:type="dcterms:W3CDTF">2025-11-10T08:55:00Z</dcterms:created>
  <dcterms:modified xsi:type="dcterms:W3CDTF">2026-02-04T10:23:00Z</dcterms:modified>
</cp:coreProperties>
</file>